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7E5" w:rsidRPr="0093552C" w:rsidRDefault="00B047E5" w:rsidP="0093552C">
      <w:pPr>
        <w:ind w:left="9214"/>
        <w:rPr>
          <w:sz w:val="28"/>
          <w:szCs w:val="28"/>
          <w:lang w:val="ru-RU"/>
        </w:rPr>
      </w:pPr>
      <w:r w:rsidRPr="0093552C">
        <w:rPr>
          <w:sz w:val="28"/>
          <w:szCs w:val="28"/>
          <w:lang w:val="ru-RU"/>
        </w:rPr>
        <w:t>ПРИЛОЖЕНИЕ</w:t>
      </w:r>
    </w:p>
    <w:p w:rsidR="00B047E5" w:rsidRPr="0093552C" w:rsidRDefault="00B047E5" w:rsidP="0093552C">
      <w:pPr>
        <w:ind w:left="9214"/>
        <w:rPr>
          <w:sz w:val="28"/>
          <w:szCs w:val="28"/>
          <w:lang w:val="ru-RU"/>
        </w:rPr>
      </w:pPr>
      <w:r w:rsidRPr="0093552C">
        <w:rPr>
          <w:sz w:val="28"/>
          <w:szCs w:val="28"/>
          <w:lang w:val="ru-RU"/>
        </w:rPr>
        <w:t xml:space="preserve">к решению  </w:t>
      </w:r>
      <w:r w:rsidR="006F1811" w:rsidRPr="006F1811">
        <w:rPr>
          <w:sz w:val="28"/>
          <w:szCs w:val="28"/>
        </w:rPr>
        <w:t>XVII</w:t>
      </w:r>
      <w:r w:rsidRPr="0093552C">
        <w:rPr>
          <w:sz w:val="28"/>
          <w:szCs w:val="28"/>
          <w:lang w:val="ru-RU"/>
        </w:rPr>
        <w:t xml:space="preserve"> сессии Совета Вышестеблиевского сельского поселения Темрюкского района</w:t>
      </w:r>
      <w:r w:rsidRPr="0093552C">
        <w:rPr>
          <w:sz w:val="28"/>
          <w:szCs w:val="28"/>
          <w:lang w:val="ru-RU"/>
        </w:rPr>
        <w:br/>
      </w:r>
      <w:r w:rsidRPr="0093552C">
        <w:rPr>
          <w:sz w:val="28"/>
          <w:szCs w:val="28"/>
        </w:rPr>
        <w:t>I</w:t>
      </w:r>
      <w:r w:rsidR="00B072EC" w:rsidRPr="0093552C">
        <w:rPr>
          <w:sz w:val="28"/>
          <w:szCs w:val="28"/>
        </w:rPr>
        <w:t>V</w:t>
      </w:r>
      <w:r w:rsidRPr="0093552C">
        <w:rPr>
          <w:sz w:val="28"/>
          <w:szCs w:val="28"/>
          <w:lang w:val="ru-RU"/>
        </w:rPr>
        <w:t xml:space="preserve"> созыва</w:t>
      </w:r>
    </w:p>
    <w:p w:rsidR="00B047E5" w:rsidRPr="0093552C" w:rsidRDefault="00B047E5" w:rsidP="0093552C">
      <w:pPr>
        <w:ind w:left="9214"/>
        <w:rPr>
          <w:sz w:val="28"/>
          <w:szCs w:val="28"/>
          <w:lang w:val="ru-RU"/>
        </w:rPr>
      </w:pPr>
      <w:r w:rsidRPr="0093552C">
        <w:rPr>
          <w:sz w:val="28"/>
          <w:szCs w:val="28"/>
          <w:lang w:val="ru-RU"/>
        </w:rPr>
        <w:t xml:space="preserve">от </w:t>
      </w:r>
      <w:r w:rsidR="006F1811">
        <w:rPr>
          <w:sz w:val="28"/>
          <w:szCs w:val="28"/>
          <w:lang w:val="ru-RU"/>
        </w:rPr>
        <w:t>18.06.2020</w:t>
      </w:r>
      <w:r w:rsidRPr="0093552C">
        <w:rPr>
          <w:sz w:val="28"/>
          <w:szCs w:val="28"/>
          <w:lang w:val="ru-RU"/>
        </w:rPr>
        <w:t xml:space="preserve"> г.  № </w:t>
      </w:r>
      <w:r w:rsidR="006F1811">
        <w:rPr>
          <w:sz w:val="28"/>
          <w:szCs w:val="28"/>
          <w:lang w:val="ru-RU"/>
        </w:rPr>
        <w:t>66</w:t>
      </w:r>
    </w:p>
    <w:p w:rsidR="00B047E5" w:rsidRDefault="00B047E5" w:rsidP="00B047E5">
      <w:pPr>
        <w:rPr>
          <w:lang w:val="ru-RU"/>
        </w:rPr>
      </w:pPr>
    </w:p>
    <w:p w:rsidR="00B047E5" w:rsidRPr="00B65827" w:rsidRDefault="00B047E5" w:rsidP="00B047E5">
      <w:pPr>
        <w:jc w:val="center"/>
        <w:rPr>
          <w:b/>
          <w:sz w:val="28"/>
          <w:szCs w:val="28"/>
          <w:lang w:val="ru-RU"/>
        </w:rPr>
      </w:pPr>
      <w:r w:rsidRPr="00B65827">
        <w:rPr>
          <w:b/>
          <w:sz w:val="28"/>
          <w:szCs w:val="28"/>
          <w:lang w:val="ru-RU"/>
        </w:rPr>
        <w:t>Оценка эффективности реализации муниципальных программ</w:t>
      </w:r>
      <w:r>
        <w:rPr>
          <w:b/>
          <w:sz w:val="28"/>
          <w:szCs w:val="28"/>
          <w:lang w:val="ru-RU"/>
        </w:rPr>
        <w:t xml:space="preserve"> </w:t>
      </w:r>
      <w:r w:rsidRPr="00B65827">
        <w:rPr>
          <w:b/>
          <w:sz w:val="28"/>
          <w:szCs w:val="28"/>
          <w:lang w:val="ru-RU"/>
        </w:rPr>
        <w:t xml:space="preserve">Вышестеблиевского сельского поселения Темрюкского района </w:t>
      </w:r>
      <w:r>
        <w:rPr>
          <w:b/>
          <w:sz w:val="28"/>
          <w:szCs w:val="28"/>
          <w:lang w:val="ru-RU"/>
        </w:rPr>
        <w:br/>
      </w:r>
      <w:r w:rsidRPr="00B65827">
        <w:rPr>
          <w:b/>
          <w:sz w:val="28"/>
          <w:szCs w:val="28"/>
          <w:lang w:val="ru-RU"/>
        </w:rPr>
        <w:t>за 201</w:t>
      </w:r>
      <w:r w:rsidR="00B072EC">
        <w:rPr>
          <w:b/>
          <w:sz w:val="28"/>
          <w:szCs w:val="28"/>
          <w:lang w:val="ru-RU"/>
        </w:rPr>
        <w:t>9</w:t>
      </w:r>
      <w:r w:rsidRPr="00B65827">
        <w:rPr>
          <w:b/>
          <w:sz w:val="28"/>
          <w:szCs w:val="28"/>
          <w:lang w:val="ru-RU"/>
        </w:rPr>
        <w:t xml:space="preserve"> год</w:t>
      </w:r>
    </w:p>
    <w:p w:rsidR="00B047E5" w:rsidRDefault="00B047E5" w:rsidP="00B047E5">
      <w:pPr>
        <w:jc w:val="center"/>
        <w:rPr>
          <w:sz w:val="28"/>
          <w:szCs w:val="28"/>
          <w:lang w:val="ru-RU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3936"/>
        <w:gridCol w:w="1134"/>
        <w:gridCol w:w="1134"/>
        <w:gridCol w:w="7513"/>
        <w:gridCol w:w="1559"/>
      </w:tblGrid>
      <w:tr w:rsidR="00B047E5" w:rsidRPr="006F1811" w:rsidTr="00452827">
        <w:tc>
          <w:tcPr>
            <w:tcW w:w="3936" w:type="dxa"/>
            <w:vMerge w:val="restart"/>
          </w:tcPr>
          <w:p w:rsidR="00B047E5" w:rsidRPr="00452827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452827">
              <w:rPr>
                <w:color w:val="000000" w:themeColor="text1"/>
                <w:sz w:val="24"/>
                <w:szCs w:val="24"/>
                <w:lang w:val="ru-RU"/>
              </w:rPr>
              <w:t>Наименование программ</w:t>
            </w:r>
          </w:p>
        </w:tc>
        <w:tc>
          <w:tcPr>
            <w:tcW w:w="2268" w:type="dxa"/>
            <w:gridSpan w:val="2"/>
          </w:tcPr>
          <w:p w:rsidR="00B047E5" w:rsidRPr="00452827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452827">
              <w:rPr>
                <w:color w:val="000000" w:themeColor="text1"/>
                <w:sz w:val="24"/>
                <w:szCs w:val="24"/>
                <w:lang w:val="ru-RU"/>
              </w:rPr>
              <w:t>Местный бюджет, тыс</w:t>
            </w:r>
            <w:proofErr w:type="gramStart"/>
            <w:r w:rsidRPr="00452827">
              <w:rPr>
                <w:color w:val="000000" w:themeColor="text1"/>
                <w:sz w:val="24"/>
                <w:szCs w:val="24"/>
                <w:lang w:val="ru-RU"/>
              </w:rPr>
              <w:t>.р</w:t>
            </w:r>
            <w:proofErr w:type="gramEnd"/>
            <w:r w:rsidRPr="00452827">
              <w:rPr>
                <w:color w:val="000000" w:themeColor="text1"/>
                <w:sz w:val="24"/>
                <w:szCs w:val="24"/>
                <w:lang w:val="ru-RU"/>
              </w:rPr>
              <w:t>уб.</w:t>
            </w:r>
          </w:p>
        </w:tc>
        <w:tc>
          <w:tcPr>
            <w:tcW w:w="7513" w:type="dxa"/>
          </w:tcPr>
          <w:p w:rsidR="00B047E5" w:rsidRPr="00452827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452827">
              <w:rPr>
                <w:color w:val="000000" w:themeColor="text1"/>
                <w:sz w:val="24"/>
                <w:szCs w:val="24"/>
                <w:lang w:val="ru-RU"/>
              </w:rPr>
              <w:t>Исполнение программ</w:t>
            </w:r>
          </w:p>
        </w:tc>
        <w:tc>
          <w:tcPr>
            <w:tcW w:w="1559" w:type="dxa"/>
          </w:tcPr>
          <w:p w:rsidR="00B047E5" w:rsidRPr="00452827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452827">
              <w:rPr>
                <w:color w:val="000000" w:themeColor="text1"/>
                <w:sz w:val="24"/>
                <w:szCs w:val="24"/>
                <w:lang w:val="ru-RU"/>
              </w:rPr>
              <w:t>Оценка эффективности реализации муниципальной программы</w:t>
            </w:r>
          </w:p>
        </w:tc>
      </w:tr>
      <w:tr w:rsidR="00B047E5" w:rsidRPr="007B1831" w:rsidTr="00452827">
        <w:tc>
          <w:tcPr>
            <w:tcW w:w="3936" w:type="dxa"/>
            <w:vMerge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План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Факт</w:t>
            </w:r>
          </w:p>
        </w:tc>
        <w:tc>
          <w:tcPr>
            <w:tcW w:w="7513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B047E5" w:rsidRPr="007B1831" w:rsidTr="00452827">
        <w:tc>
          <w:tcPr>
            <w:tcW w:w="3936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2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3</w:t>
            </w:r>
          </w:p>
        </w:tc>
        <w:tc>
          <w:tcPr>
            <w:tcW w:w="7513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4</w:t>
            </w:r>
          </w:p>
        </w:tc>
        <w:tc>
          <w:tcPr>
            <w:tcW w:w="1559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5</w:t>
            </w:r>
          </w:p>
        </w:tc>
      </w:tr>
      <w:tr w:rsidR="00B047E5" w:rsidRPr="007B1831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1. </w:t>
            </w:r>
            <w:r w:rsidR="00FD78B0" w:rsidRPr="0022109F">
              <w:rPr>
                <w:color w:val="000000" w:themeColor="text1"/>
                <w:sz w:val="24"/>
                <w:szCs w:val="24"/>
                <w:lang w:val="ru-RU"/>
              </w:rPr>
              <w:t>Муниципальная программа «Комплексное развитие Вышестеблиевского сельского поселения Темрюкского района в сфере строительства, архитектуры и дорожного хозяйства» на 2019 год</w:t>
            </w:r>
          </w:p>
        </w:tc>
        <w:tc>
          <w:tcPr>
            <w:tcW w:w="1134" w:type="dxa"/>
          </w:tcPr>
          <w:p w:rsidR="00B047E5" w:rsidRPr="00E43FB2" w:rsidRDefault="00464D5F" w:rsidP="00E43FB2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E43FB2">
              <w:rPr>
                <w:color w:val="000000" w:themeColor="text1"/>
                <w:sz w:val="24"/>
                <w:szCs w:val="24"/>
                <w:lang w:val="ru-RU"/>
              </w:rPr>
              <w:t>5651,</w:t>
            </w:r>
            <w:r w:rsidR="00E43FB2" w:rsidRPr="00E43FB2">
              <w:rPr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B047E5" w:rsidRPr="00E43FB2" w:rsidRDefault="00464D5F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E43FB2">
              <w:rPr>
                <w:color w:val="000000" w:themeColor="text1"/>
                <w:sz w:val="24"/>
                <w:szCs w:val="24"/>
                <w:lang w:val="ru-RU"/>
              </w:rPr>
              <w:t>5473,3</w:t>
            </w:r>
          </w:p>
        </w:tc>
        <w:tc>
          <w:tcPr>
            <w:tcW w:w="7513" w:type="dxa"/>
          </w:tcPr>
          <w:p w:rsidR="00B047E5" w:rsidRPr="0022109F" w:rsidRDefault="00FD78B0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Оказание услуг по составлению сметной документации;  оплата за щебень, оплата работ за перепланировку с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упл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щеб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 работ по ул. Октябрьской от пер. Почтовый до пер. Горького; от пер. Красноармейский; от пер. Степной до пер. Шевченко; уклада асфальтобетона к площади Дома культуры; ремонт дорог по ул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.К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ооперативная, пер. Степной, пер. Горького; текущий ремонт дорог по ул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.К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ооперативной, пер. Почтовый и пер. Ворошилова. 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Оплата работ за перепланировку с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упл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щеб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. работ по пер. Володарского от ул. Пушкина до ул. Комсомольской; работы по ремонту пер. Раздельного от пер. Почтового; ремонт улицы Октябрьской от пер. Почтовый до пер. Лермонтова и от пер. Гоголя до 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пер. Урицкого.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Покраска пешеходных переходов возле школ и садиков. Ремонтные работы пер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.У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рицкого от ул.Ленина до ул. Октябрьской; ремонт ул. Октябрьской от пер. Гоголя до пер. Урицкого; рем. покрытия пер. Горького; рем. дорог пер. Урицкого, Гоголя, Садовый; ремонт пер. Красноармейский. Ямочный ремонт а/бетонного покрытия,  сметы (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строит-во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, реконструкция и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тек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.р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емонт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станицы), текущий ремонт уличных сетей. </w:t>
            </w:r>
            <w:r w:rsidR="00B047E5" w:rsidRPr="0022109F">
              <w:rPr>
                <w:color w:val="000000" w:themeColor="text1"/>
                <w:sz w:val="24"/>
                <w:szCs w:val="24"/>
                <w:lang w:val="ru-RU"/>
              </w:rPr>
              <w:t>Не выполнение программы на 100% из-за экономии при проведении торгов.</w:t>
            </w:r>
          </w:p>
        </w:tc>
        <w:tc>
          <w:tcPr>
            <w:tcW w:w="1559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высокая</w:t>
            </w:r>
          </w:p>
        </w:tc>
      </w:tr>
      <w:tr w:rsidR="00B047E5" w:rsidRPr="007B1831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2. </w:t>
            </w:r>
            <w:r w:rsidR="00E9586B" w:rsidRPr="0022109F">
              <w:rPr>
                <w:color w:val="000000" w:themeColor="text1"/>
                <w:sz w:val="24"/>
                <w:szCs w:val="24"/>
                <w:lang w:val="ru-RU"/>
              </w:rPr>
              <w:t>Муниципальная программа "Эффективное муниципальное управление" на 2019 год</w:t>
            </w:r>
          </w:p>
        </w:tc>
        <w:tc>
          <w:tcPr>
            <w:tcW w:w="1134" w:type="dxa"/>
          </w:tcPr>
          <w:p w:rsidR="00B047E5" w:rsidRPr="00971D82" w:rsidRDefault="00464D5F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71D82">
              <w:rPr>
                <w:color w:val="000000" w:themeColor="text1"/>
                <w:sz w:val="24"/>
                <w:szCs w:val="24"/>
                <w:lang w:val="ru-RU"/>
              </w:rPr>
              <w:t>12144,6</w:t>
            </w:r>
          </w:p>
        </w:tc>
        <w:tc>
          <w:tcPr>
            <w:tcW w:w="1134" w:type="dxa"/>
          </w:tcPr>
          <w:p w:rsidR="00B047E5" w:rsidRPr="00971D82" w:rsidRDefault="00464D5F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71D82">
              <w:rPr>
                <w:color w:val="000000" w:themeColor="text1"/>
                <w:sz w:val="24"/>
                <w:szCs w:val="24"/>
                <w:lang w:val="ru-RU"/>
              </w:rPr>
              <w:t>11927,4</w:t>
            </w:r>
          </w:p>
        </w:tc>
        <w:tc>
          <w:tcPr>
            <w:tcW w:w="7513" w:type="dxa"/>
          </w:tcPr>
          <w:p w:rsidR="00B047E5" w:rsidRPr="0022109F" w:rsidRDefault="00E9586B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1)Расходы на обеспечение деятельности МКУ «ПЭЦ». Приобретение канцтоваров и комплектующих к оргтехнике, ГСМ,  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хоз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 Товары. Приобретение лампочек, картриджей к оргтехнике, заправка картриджей. Видеонаблюдение, охрана  здания, ремонт здания, дератизация, услуги банка, обслуживание пожарной сигнализации, коммунальные платежи, интернет, связь, страховка автомобиля, установка тревожной кнопки и ее ТО, установка  спортивной площадки (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воркаут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) и ее обустройство (1комплекс в ст.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Вышестеблиевская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)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,к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ачели 3 шт. Замена окна в здании администрации. Обустройство детского игрового комплекса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ст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.В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ышестеблиевская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). Расчистка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ливневки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. Приобретение стройматериалов; велосипеды (6 ед.); коса роторная на мотоблок; бензопилы 3 шт. Приобретение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сплитсистем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(4 </w:t>
            </w:r>
            <w:proofErr w:type="spellStart"/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); спецодежда; принтер; ТО АПС; восстановление АПС после ремонта здания;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/части; охрана труда; услуги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мех.руки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(автовышки); трубы; подписка на журнал на 2020 год., ТО 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газораспределителя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, подписка на журнал. Приобретение жесткого диска и ТО АПС, строительные товары. установка ограждения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спорт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.п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лощадки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(п. Виноградный)</w:t>
            </w:r>
            <w:r w:rsidR="00B047E5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2) Расходы на обеспечение деятельности централизованной бухгалтерии (обеспечение ведение бухгалтерского учета); </w:t>
            </w:r>
          </w:p>
          <w:p w:rsidR="00B047E5" w:rsidRPr="0022109F" w:rsidRDefault="00B047E5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3) Развитие архивного дела; </w:t>
            </w:r>
          </w:p>
          <w:p w:rsidR="00B047E5" w:rsidRPr="0022109F" w:rsidRDefault="00B047E5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4) Компенсационные выплаты членам территориального общественного самоуправлени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я(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ТОСЫ - 6 чел.) </w:t>
            </w:r>
          </w:p>
          <w:p w:rsidR="00D04538" w:rsidRPr="0022109F" w:rsidRDefault="00B047E5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Не выполнение программы на 100% </w:t>
            </w:r>
            <w:r w:rsidR="00D04538" w:rsidRPr="0022109F">
              <w:rPr>
                <w:color w:val="000000" w:themeColor="text1"/>
                <w:sz w:val="24"/>
                <w:szCs w:val="24"/>
                <w:lang w:val="ru-RU"/>
              </w:rPr>
              <w:t>связано с тем, что:</w:t>
            </w:r>
          </w:p>
          <w:p w:rsidR="00B047E5" w:rsidRPr="0022109F" w:rsidRDefault="00D04538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1) расторгли договора по коммунальным услугам; 2)</w:t>
            </w:r>
            <w:r w:rsidRPr="0022109F">
              <w:rPr>
                <w:sz w:val="24"/>
                <w:szCs w:val="24"/>
                <w:lang w:val="ru-RU"/>
              </w:rPr>
              <w:t xml:space="preserve"> 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поздно 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поставили лимиты в конце года, тем самым договора не были заключены в срок.</w:t>
            </w:r>
          </w:p>
        </w:tc>
        <w:tc>
          <w:tcPr>
            <w:tcW w:w="1559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Высокая</w:t>
            </w:r>
          </w:p>
        </w:tc>
      </w:tr>
      <w:tr w:rsidR="00B047E5" w:rsidRPr="00B072EC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3. </w:t>
            </w:r>
            <w:r w:rsidR="00850E50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Муниципальная программа "Поддержка и развитие малого и среднего предпринимательства» в </w:t>
            </w:r>
            <w:proofErr w:type="spellStart"/>
            <w:r w:rsidR="00850E50" w:rsidRPr="0022109F">
              <w:rPr>
                <w:color w:val="000000" w:themeColor="text1"/>
                <w:sz w:val="24"/>
                <w:szCs w:val="24"/>
                <w:lang w:val="ru-RU"/>
              </w:rPr>
              <w:t>Вышестеблиевском</w:t>
            </w:r>
            <w:proofErr w:type="spellEnd"/>
            <w:r w:rsidR="00850E50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сельском поселении Темрюкского района на 2019 год</w:t>
            </w:r>
          </w:p>
        </w:tc>
        <w:tc>
          <w:tcPr>
            <w:tcW w:w="1134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0,0</w:t>
            </w:r>
          </w:p>
        </w:tc>
        <w:tc>
          <w:tcPr>
            <w:tcW w:w="7513" w:type="dxa"/>
          </w:tcPr>
          <w:p w:rsidR="00B047E5" w:rsidRPr="0022109F" w:rsidRDefault="00850E50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Реализация программных мероприятий, связанных с оказанием муниципальной поддержки субъектам малого и среднего предпринимательства проводилась в виде информационного, консультационного и методического обеспечения, что не требовало финансирования. </w:t>
            </w:r>
            <w:r w:rsidR="00B047E5" w:rsidRPr="0022109F">
              <w:rPr>
                <w:color w:val="000000" w:themeColor="text1"/>
                <w:sz w:val="24"/>
                <w:szCs w:val="24"/>
                <w:lang w:val="ru-RU"/>
              </w:rPr>
              <w:t>Средства перераспределены на выполнение других муниципальных программ</w:t>
            </w:r>
          </w:p>
        </w:tc>
        <w:tc>
          <w:tcPr>
            <w:tcW w:w="1559" w:type="dxa"/>
          </w:tcPr>
          <w:p w:rsidR="00B047E5" w:rsidRPr="0022109F" w:rsidRDefault="00E11580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4. </w:t>
            </w:r>
            <w:r w:rsidR="000E693C" w:rsidRPr="0022109F">
              <w:rPr>
                <w:color w:val="000000" w:themeColor="text1"/>
                <w:sz w:val="24"/>
                <w:szCs w:val="24"/>
                <w:lang w:val="ru-RU"/>
              </w:rPr>
              <w:t>Муниципальная программа «Поддержка социально ориентированных некоммерческих организаций, осуществляющих деятельность на территории Вышестеблиевского сельского поселения Темрюкского района» на 2019 год</w:t>
            </w:r>
          </w:p>
        </w:tc>
        <w:tc>
          <w:tcPr>
            <w:tcW w:w="1134" w:type="dxa"/>
          </w:tcPr>
          <w:p w:rsidR="00B047E5" w:rsidRPr="00990428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90428">
              <w:rPr>
                <w:color w:val="000000" w:themeColor="text1"/>
                <w:sz w:val="24"/>
                <w:szCs w:val="24"/>
                <w:lang w:val="ru-RU"/>
              </w:rPr>
              <w:t>15,0</w:t>
            </w:r>
          </w:p>
        </w:tc>
        <w:tc>
          <w:tcPr>
            <w:tcW w:w="1134" w:type="dxa"/>
          </w:tcPr>
          <w:p w:rsidR="00B047E5" w:rsidRPr="00990428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90428">
              <w:rPr>
                <w:color w:val="000000" w:themeColor="text1"/>
                <w:sz w:val="24"/>
                <w:szCs w:val="24"/>
                <w:lang w:val="ru-RU"/>
              </w:rPr>
              <w:t>15,0</w:t>
            </w:r>
          </w:p>
        </w:tc>
        <w:tc>
          <w:tcPr>
            <w:tcW w:w="7513" w:type="dxa"/>
          </w:tcPr>
          <w:p w:rsidR="00B047E5" w:rsidRPr="0022109F" w:rsidRDefault="003D49E6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П</w:t>
            </w:r>
            <w:r w:rsidR="000E693C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редоставление субсидий из бюджета Темрюкской районной организации Краснодарской краевой общественной организации ветеранов (пенсионеров, инвалидов) войны, труда Вооруженных сил и правоохранительных органов (первичная ветеранская организация </w:t>
            </w:r>
            <w:proofErr w:type="spellStart"/>
            <w:r w:rsidR="000E693C" w:rsidRPr="0022109F">
              <w:rPr>
                <w:color w:val="000000" w:themeColor="text1"/>
                <w:sz w:val="24"/>
                <w:szCs w:val="24"/>
                <w:lang w:val="ru-RU"/>
              </w:rPr>
              <w:t>ст</w:t>
            </w:r>
            <w:proofErr w:type="gramStart"/>
            <w:r w:rsidR="000E693C" w:rsidRPr="0022109F">
              <w:rPr>
                <w:color w:val="000000" w:themeColor="text1"/>
                <w:sz w:val="24"/>
                <w:szCs w:val="24"/>
                <w:lang w:val="ru-RU"/>
              </w:rPr>
              <w:t>.В</w:t>
            </w:r>
            <w:proofErr w:type="gramEnd"/>
            <w:r w:rsidR="000E693C" w:rsidRPr="0022109F">
              <w:rPr>
                <w:color w:val="000000" w:themeColor="text1"/>
                <w:sz w:val="24"/>
                <w:szCs w:val="24"/>
                <w:lang w:val="ru-RU"/>
              </w:rPr>
              <w:t>ышестеблиевская</w:t>
            </w:r>
            <w:proofErr w:type="spellEnd"/>
            <w:r w:rsidR="000E693C" w:rsidRPr="0022109F">
              <w:rPr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1559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3D49E6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5.</w:t>
            </w:r>
            <w:r w:rsidR="003D49E6" w:rsidRPr="0022109F">
              <w:rPr>
                <w:sz w:val="24"/>
                <w:szCs w:val="24"/>
                <w:lang w:val="ru-RU"/>
              </w:rPr>
              <w:t xml:space="preserve"> </w:t>
            </w:r>
            <w:r w:rsidR="003D49E6" w:rsidRPr="0022109F">
              <w:rPr>
                <w:color w:val="000000" w:themeColor="text1"/>
                <w:sz w:val="24"/>
                <w:szCs w:val="24"/>
                <w:lang w:val="ru-RU"/>
              </w:rPr>
              <w:t>Муниципальная программа "Развитие жилищно-коммунального хозяйства" на 2019 год</w:t>
            </w:r>
          </w:p>
        </w:tc>
        <w:tc>
          <w:tcPr>
            <w:tcW w:w="1134" w:type="dxa"/>
          </w:tcPr>
          <w:p w:rsidR="00B047E5" w:rsidRPr="00923F65" w:rsidRDefault="003D49E6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23F65">
              <w:rPr>
                <w:color w:val="000000" w:themeColor="text1"/>
                <w:sz w:val="24"/>
                <w:szCs w:val="24"/>
              </w:rPr>
              <w:t>6119</w:t>
            </w:r>
            <w:r w:rsidRPr="00923F65">
              <w:rPr>
                <w:color w:val="000000" w:themeColor="text1"/>
                <w:sz w:val="24"/>
                <w:szCs w:val="24"/>
                <w:lang w:val="ru-RU"/>
              </w:rPr>
              <w:t>,9</w:t>
            </w:r>
          </w:p>
        </w:tc>
        <w:tc>
          <w:tcPr>
            <w:tcW w:w="1134" w:type="dxa"/>
          </w:tcPr>
          <w:p w:rsidR="00B047E5" w:rsidRPr="00923F65" w:rsidRDefault="003D49E6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23F65">
              <w:rPr>
                <w:color w:val="000000" w:themeColor="text1"/>
                <w:sz w:val="24"/>
                <w:szCs w:val="24"/>
                <w:lang w:val="ru-RU"/>
              </w:rPr>
              <w:t>6052,7</w:t>
            </w:r>
          </w:p>
        </w:tc>
        <w:tc>
          <w:tcPr>
            <w:tcW w:w="7513" w:type="dxa"/>
          </w:tcPr>
          <w:p w:rsidR="00B047E5" w:rsidRPr="0022109F" w:rsidRDefault="003D49E6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Организация сбора и вывоза мусора на территории Вышестеблиевского сельского поселения и прочие мероприятия по благоустройству. Обслуживание уличного освещения на территории Вышестеблиевского сельского поселения (приобретение светодиодных светильников (ламп) 500 шт.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;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услуги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мехруки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электротаймеры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(5 шт.). Организация ритуальных услуг и содержание мест захоронения территории Вышестеблиевского сельского поселения. Спил деревьев 5 штук и их транспортировка на свалку. Расчистка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ливневок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5 ед.; полив цветов. Полив грунтовой дороги ул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.О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ктябрьской от пер. Почтовый до пер. Лермонтова; кошение травы трактором на стадионе, в парке, вокруг кладбища; покос сорной растительности по улицам поселения. Исследование почвы;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топосьемка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парковых зон, дератизация, отлов собак. Ограждение спорт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п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лощадки, бетон для детской площадки, установка спорт оборудования (п. Виноградный), сметы кладбищ. </w:t>
            </w:r>
            <w:r w:rsidR="00AC7477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обустройство спортивной площадки для занятия городошным спортом (метал. листы, панели, крепления, трубы, прочие товары) на стадионе ст. </w:t>
            </w:r>
            <w:proofErr w:type="spellStart"/>
            <w:r w:rsidR="00AC7477"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Вышестеблиевской</w:t>
            </w:r>
            <w:proofErr w:type="spellEnd"/>
            <w:r w:rsidR="00AC7477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="00B047E5" w:rsidRPr="0022109F">
              <w:rPr>
                <w:color w:val="000000" w:themeColor="text1"/>
                <w:sz w:val="24"/>
                <w:szCs w:val="24"/>
                <w:lang w:val="ru-RU"/>
              </w:rPr>
              <w:t>Невыполнение программы на 100% связано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: 1)</w:t>
            </w:r>
            <w:r w:rsidR="00B047E5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с 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экономией в связи с понижением цены при проведен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ии ау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кциона; 2) с неоплатой договоров в конце года, по причине их возврата из-за содержащихся в них ошибок по реквизитам</w:t>
            </w:r>
          </w:p>
        </w:tc>
        <w:tc>
          <w:tcPr>
            <w:tcW w:w="1559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Высокая</w:t>
            </w:r>
          </w:p>
        </w:tc>
      </w:tr>
      <w:tr w:rsidR="00B047E5" w:rsidRPr="007B1831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6. </w:t>
            </w:r>
            <w:r w:rsidR="00AC7477" w:rsidRPr="0022109F">
              <w:rPr>
                <w:color w:val="000000" w:themeColor="text1"/>
                <w:sz w:val="24"/>
                <w:szCs w:val="24"/>
                <w:lang w:val="ru-RU"/>
              </w:rPr>
              <w:t>Муниципальная программа "Молодежь   Вышестеблиевского сельского поселения Темрюкского района " на 2019 год</w:t>
            </w:r>
          </w:p>
        </w:tc>
        <w:tc>
          <w:tcPr>
            <w:tcW w:w="1134" w:type="dxa"/>
          </w:tcPr>
          <w:p w:rsidR="00B047E5" w:rsidRPr="00CD750D" w:rsidRDefault="00AC7477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CD750D">
              <w:rPr>
                <w:color w:val="000000" w:themeColor="text1"/>
                <w:sz w:val="24"/>
                <w:szCs w:val="24"/>
                <w:lang w:val="ru-RU"/>
              </w:rPr>
              <w:t>75</w:t>
            </w:r>
            <w:r w:rsidR="00B047E5" w:rsidRPr="00CD750D">
              <w:rPr>
                <w:color w:val="000000" w:themeColor="text1"/>
                <w:sz w:val="24"/>
                <w:szCs w:val="24"/>
                <w:lang w:val="ru-RU"/>
              </w:rPr>
              <w:t>,0</w:t>
            </w:r>
          </w:p>
        </w:tc>
        <w:tc>
          <w:tcPr>
            <w:tcW w:w="1134" w:type="dxa"/>
          </w:tcPr>
          <w:p w:rsidR="00B047E5" w:rsidRPr="00CD750D" w:rsidRDefault="00AC7477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CD750D">
              <w:rPr>
                <w:color w:val="000000" w:themeColor="text1"/>
                <w:sz w:val="24"/>
                <w:szCs w:val="24"/>
                <w:lang w:val="ru-RU"/>
              </w:rPr>
              <w:t>75</w:t>
            </w:r>
            <w:r w:rsidR="00B047E5" w:rsidRPr="00CD750D">
              <w:rPr>
                <w:color w:val="000000" w:themeColor="text1"/>
                <w:sz w:val="24"/>
                <w:szCs w:val="24"/>
                <w:lang w:val="ru-RU"/>
              </w:rPr>
              <w:t>,0</w:t>
            </w:r>
          </w:p>
        </w:tc>
        <w:tc>
          <w:tcPr>
            <w:tcW w:w="7513" w:type="dxa"/>
          </w:tcPr>
          <w:p w:rsidR="004754F4" w:rsidRPr="0022109F" w:rsidRDefault="004754F4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Открытие месячника Военно-патриотического воспитания (раздаточный материал, бумага 1 упаковка, диски, канц. товары); приобретение флагов (60 маленьких на палочке), проведение мероприяти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й(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канц.товары, диски). </w:t>
            </w:r>
          </w:p>
          <w:p w:rsidR="00B047E5" w:rsidRPr="0022109F" w:rsidRDefault="00B047E5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5D25B6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7. </w:t>
            </w:r>
            <w:r w:rsidR="005D25B6" w:rsidRPr="0022109F">
              <w:rPr>
                <w:color w:val="000000" w:themeColor="text1"/>
                <w:sz w:val="24"/>
                <w:szCs w:val="24"/>
                <w:lang w:val="ru-RU"/>
              </w:rPr>
              <w:t>Муниципальная программа "Развитие культуры Вышестеблиевского сельского поселения Темрюкского района" на 2019 год</w:t>
            </w:r>
          </w:p>
        </w:tc>
        <w:tc>
          <w:tcPr>
            <w:tcW w:w="1134" w:type="dxa"/>
          </w:tcPr>
          <w:p w:rsidR="00B047E5" w:rsidRPr="00E0300D" w:rsidRDefault="005D25B6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E0300D">
              <w:rPr>
                <w:color w:val="000000" w:themeColor="text1"/>
                <w:sz w:val="24"/>
                <w:szCs w:val="24"/>
                <w:lang w:val="ru-RU"/>
              </w:rPr>
              <w:t>17391,2</w:t>
            </w:r>
          </w:p>
        </w:tc>
        <w:tc>
          <w:tcPr>
            <w:tcW w:w="1134" w:type="dxa"/>
          </w:tcPr>
          <w:p w:rsidR="00B047E5" w:rsidRPr="00E0300D" w:rsidRDefault="005D25B6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E0300D">
              <w:rPr>
                <w:color w:val="000000" w:themeColor="text1"/>
                <w:sz w:val="24"/>
                <w:szCs w:val="24"/>
                <w:lang w:val="ru-RU"/>
              </w:rPr>
              <w:t>17370,5</w:t>
            </w:r>
          </w:p>
        </w:tc>
        <w:tc>
          <w:tcPr>
            <w:tcW w:w="7513" w:type="dxa"/>
          </w:tcPr>
          <w:p w:rsidR="00B047E5" w:rsidRPr="0022109F" w:rsidRDefault="005D25B6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Приобретение: принтер (1 шт.),  ноутбук (2 шт.), привод, МФУ, моноблок (1 шт.) для МБУК "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Вышестеблиевская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ЦКС".  Выплата денежного поощрения 2 работникам МБУК "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Вышестеблиевская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ЦКС". Обеспечение деятельности МБУК «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Вышестеблиевская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ЦКС": Приобретение ели искусственной; лавочки, кассовый аппарат. Обслуживание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сплит-систем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; сметы. Проведение цикла мероприятий, посвященных Дню защитника Отечества. Проведение цикла мероприятий, посвященных Празднованию Великой Победы; Проведение цикла мероприятий, посвященных Дню станицы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Вышестеблиевская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и Дню поселка Виноградный; оплата за праздничный концерт "Казачий хор", оплата транспортных услуг к месту проведения мероприятия. Аванс за печатное издательство (книга о поселении);  приобретение металлических противопожарных дверей для Дома Культуры (2 ед.);  Выплата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/платы, налогов,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ком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.у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слуг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, вывоз ТКО.;ТО пожарной кнопки, фейерверк. Приобретение камер видеонаблюдения (2 шт.),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металлодетектор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(1 шт.), ткани, двери, стенды информационные, костюмы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сценарические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(6 </w:t>
            </w:r>
            <w:proofErr w:type="spellStart"/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), лампы (20 шт.), флаги (2 шт.), диски, новогоднее оформление. Оплата за услуги теплоснабжения. ТО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теплогенератора</w:t>
            </w:r>
            <w:proofErr w:type="spellEnd"/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.. 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Детская спортивная площадка за счет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субсиий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в ст.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Вышестеблиевская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5D25B6" w:rsidRPr="0022109F" w:rsidRDefault="005D25B6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Не выполнение программы на 100% связано </w:t>
            </w:r>
            <w:r w:rsidR="001F0C12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с 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растор</w:t>
            </w:r>
            <w:r w:rsidR="001F0C12" w:rsidRPr="0022109F">
              <w:rPr>
                <w:color w:val="000000" w:themeColor="text1"/>
                <w:sz w:val="24"/>
                <w:szCs w:val="24"/>
                <w:lang w:val="ru-RU"/>
              </w:rPr>
              <w:t>жением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договор</w:t>
            </w:r>
            <w:r w:rsidR="001F0C12" w:rsidRPr="0022109F">
              <w:rPr>
                <w:color w:val="000000" w:themeColor="text1"/>
                <w:sz w:val="24"/>
                <w:szCs w:val="24"/>
                <w:lang w:val="ru-RU"/>
              </w:rPr>
              <w:t>ов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по коммунальным услугам;</w:t>
            </w:r>
          </w:p>
        </w:tc>
        <w:tc>
          <w:tcPr>
            <w:tcW w:w="1559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8. </w:t>
            </w:r>
            <w:r w:rsidR="004B245B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Муниципальная программа "Социальная поддержка граждан </w:t>
            </w:r>
            <w:r w:rsidR="004B245B"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Вышестеблиевского сельского поселения Темрюкского района" на 2019 год</w:t>
            </w:r>
          </w:p>
        </w:tc>
        <w:tc>
          <w:tcPr>
            <w:tcW w:w="1134" w:type="dxa"/>
          </w:tcPr>
          <w:p w:rsidR="00B047E5" w:rsidRPr="007E7E65" w:rsidRDefault="004B245B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E7E65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158,3</w:t>
            </w:r>
          </w:p>
        </w:tc>
        <w:tc>
          <w:tcPr>
            <w:tcW w:w="1134" w:type="dxa"/>
          </w:tcPr>
          <w:p w:rsidR="00B047E5" w:rsidRPr="007E7E65" w:rsidRDefault="004B245B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E7E65">
              <w:rPr>
                <w:color w:val="000000" w:themeColor="text1"/>
                <w:sz w:val="24"/>
                <w:szCs w:val="24"/>
                <w:lang w:val="ru-RU"/>
              </w:rPr>
              <w:t>158,3</w:t>
            </w:r>
          </w:p>
        </w:tc>
        <w:tc>
          <w:tcPr>
            <w:tcW w:w="7513" w:type="dxa"/>
          </w:tcPr>
          <w:p w:rsidR="00B047E5" w:rsidRPr="0022109F" w:rsidRDefault="004B245B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Выплата пенсии за  выслугу лет (ежемесячно в кол-ве - 1 чел.) лицам, замещавшим  муниципальные должности и должности 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муниципальной службы в администрации Вышестеблиевского сельского поселения</w:t>
            </w:r>
          </w:p>
        </w:tc>
        <w:tc>
          <w:tcPr>
            <w:tcW w:w="1559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7E7E65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Высокая</w:t>
            </w:r>
          </w:p>
        </w:tc>
      </w:tr>
      <w:tr w:rsidR="00B047E5" w:rsidRPr="007B1831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9. </w:t>
            </w:r>
            <w:r w:rsidR="004B245B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Муниципальная программа "Развитие  физической культуры и массового спорта в </w:t>
            </w:r>
            <w:proofErr w:type="spellStart"/>
            <w:r w:rsidR="004B245B" w:rsidRPr="0022109F">
              <w:rPr>
                <w:color w:val="000000" w:themeColor="text1"/>
                <w:sz w:val="24"/>
                <w:szCs w:val="24"/>
                <w:lang w:val="ru-RU"/>
              </w:rPr>
              <w:t>Вышестеблиевском</w:t>
            </w:r>
            <w:proofErr w:type="spellEnd"/>
            <w:r w:rsidR="004B245B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сельском поселении Темрюкского района" на 2019 год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"</w:t>
            </w:r>
          </w:p>
        </w:tc>
        <w:tc>
          <w:tcPr>
            <w:tcW w:w="1134" w:type="dxa"/>
            <w:shd w:val="clear" w:color="auto" w:fill="auto"/>
          </w:tcPr>
          <w:p w:rsidR="00B047E5" w:rsidRPr="00E938FC" w:rsidRDefault="004B245B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E938FC">
              <w:rPr>
                <w:color w:val="000000" w:themeColor="text1"/>
                <w:sz w:val="24"/>
                <w:szCs w:val="24"/>
                <w:lang w:val="ru-RU"/>
              </w:rPr>
              <w:t>760,1</w:t>
            </w:r>
          </w:p>
        </w:tc>
        <w:tc>
          <w:tcPr>
            <w:tcW w:w="1134" w:type="dxa"/>
            <w:shd w:val="clear" w:color="auto" w:fill="auto"/>
          </w:tcPr>
          <w:p w:rsidR="00B047E5" w:rsidRPr="00E938FC" w:rsidRDefault="004B245B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E938FC">
              <w:rPr>
                <w:color w:val="000000" w:themeColor="text1"/>
                <w:sz w:val="24"/>
                <w:szCs w:val="24"/>
                <w:lang w:val="ru-RU"/>
              </w:rPr>
              <w:t>692,6</w:t>
            </w:r>
          </w:p>
        </w:tc>
        <w:tc>
          <w:tcPr>
            <w:tcW w:w="7513" w:type="dxa"/>
          </w:tcPr>
          <w:p w:rsidR="004B245B" w:rsidRPr="0022109F" w:rsidRDefault="004B245B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Приобретение спортивного инвентаря (мячи- 5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ед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; бутсы - 5 ед.; форма -4 ед.; ГСМ для проезда к местам прохождения соревнований ; оплата справки для спорт комплекса; оплата за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гос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 экспертизу проектной документации спорт комплекса"п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.В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иноградный" , Приобретение 2 сетки волейбольные, 1 мяч волейбольный.        </w:t>
            </w:r>
          </w:p>
          <w:p w:rsidR="00B047E5" w:rsidRPr="0022109F" w:rsidRDefault="004B245B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Не выполнение программы на 100% связано с  оплатой  работ по факту, в январе 2020г.</w:t>
            </w:r>
            <w:r w:rsidR="00B45ABF" w:rsidRPr="0022109F">
              <w:rPr>
                <w:sz w:val="24"/>
                <w:szCs w:val="24"/>
                <w:lang w:val="ru-RU"/>
              </w:rPr>
              <w:t xml:space="preserve"> </w:t>
            </w:r>
            <w:r w:rsidR="00B45ABF" w:rsidRPr="0022109F">
              <w:rPr>
                <w:color w:val="000000" w:themeColor="text1"/>
                <w:sz w:val="24"/>
                <w:szCs w:val="24"/>
                <w:lang w:val="ru-RU"/>
              </w:rPr>
              <w:t>Остаток средств по договору</w:t>
            </w:r>
            <w:r w:rsidR="00B45ABF" w:rsidRPr="0022109F">
              <w:rPr>
                <w:sz w:val="24"/>
                <w:szCs w:val="24"/>
                <w:lang w:val="ru-RU"/>
              </w:rPr>
              <w:t xml:space="preserve"> </w:t>
            </w:r>
            <w:r w:rsidR="00B45ABF" w:rsidRPr="0022109F">
              <w:rPr>
                <w:color w:val="000000" w:themeColor="text1"/>
                <w:sz w:val="24"/>
                <w:szCs w:val="24"/>
                <w:lang w:val="ru-RU"/>
              </w:rPr>
              <w:t>на закупку ГСМ</w:t>
            </w:r>
            <w:r w:rsidR="00B45ABF" w:rsidRPr="0022109F">
              <w:rPr>
                <w:sz w:val="24"/>
                <w:szCs w:val="24"/>
                <w:lang w:val="ru-RU"/>
              </w:rPr>
              <w:t xml:space="preserve"> </w:t>
            </w:r>
            <w:r w:rsidR="00B45ABF" w:rsidRPr="0022109F">
              <w:rPr>
                <w:color w:val="000000" w:themeColor="text1"/>
                <w:sz w:val="24"/>
                <w:szCs w:val="24"/>
                <w:lang w:val="ru-RU"/>
              </w:rPr>
              <w:t>полностью освоится в 2020 году.</w:t>
            </w:r>
          </w:p>
        </w:tc>
        <w:tc>
          <w:tcPr>
            <w:tcW w:w="1559" w:type="dxa"/>
          </w:tcPr>
          <w:p w:rsidR="00B047E5" w:rsidRPr="0022109F" w:rsidRDefault="00E11580" w:rsidP="0022109F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971D82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10</w:t>
            </w:r>
            <w:r w:rsidR="00B45ABF" w:rsidRPr="0022109F">
              <w:rPr>
                <w:sz w:val="24"/>
                <w:szCs w:val="24"/>
                <w:lang w:val="ru-RU"/>
              </w:rPr>
              <w:t xml:space="preserve"> </w:t>
            </w:r>
            <w:r w:rsidR="00B45ABF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Муниципальная программа "Обеспечение безопасности  в </w:t>
            </w:r>
            <w:proofErr w:type="spellStart"/>
            <w:r w:rsidR="00B45ABF" w:rsidRPr="0022109F">
              <w:rPr>
                <w:color w:val="000000" w:themeColor="text1"/>
                <w:sz w:val="24"/>
                <w:szCs w:val="24"/>
                <w:lang w:val="ru-RU"/>
              </w:rPr>
              <w:t>Вышестеблиевском</w:t>
            </w:r>
            <w:proofErr w:type="spellEnd"/>
            <w:r w:rsidR="00B45ABF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сельском поселении Темрюкского района" на 2019 год 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"</w:t>
            </w:r>
          </w:p>
        </w:tc>
        <w:tc>
          <w:tcPr>
            <w:tcW w:w="1134" w:type="dxa"/>
          </w:tcPr>
          <w:p w:rsidR="00B047E5" w:rsidRPr="00A01F7C" w:rsidRDefault="00B45ABF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01F7C">
              <w:rPr>
                <w:color w:val="000000" w:themeColor="text1"/>
                <w:sz w:val="24"/>
                <w:szCs w:val="24"/>
                <w:lang w:val="ru-RU"/>
              </w:rPr>
              <w:t>44,5</w:t>
            </w:r>
          </w:p>
        </w:tc>
        <w:tc>
          <w:tcPr>
            <w:tcW w:w="1134" w:type="dxa"/>
          </w:tcPr>
          <w:p w:rsidR="00B047E5" w:rsidRPr="00A01F7C" w:rsidRDefault="00B45ABF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01F7C">
              <w:rPr>
                <w:color w:val="000000" w:themeColor="text1"/>
                <w:sz w:val="24"/>
                <w:szCs w:val="24"/>
                <w:lang w:val="ru-RU"/>
              </w:rPr>
              <w:t>21,9</w:t>
            </w:r>
          </w:p>
        </w:tc>
        <w:tc>
          <w:tcPr>
            <w:tcW w:w="7513" w:type="dxa"/>
          </w:tcPr>
          <w:p w:rsidR="00B45ABF" w:rsidRPr="0022109F" w:rsidRDefault="00B45ABF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приобретение формы казакам (брюки, куртки, фуражки).</w:t>
            </w:r>
          </w:p>
          <w:p w:rsidR="00B45ABF" w:rsidRPr="0022109F" w:rsidRDefault="00B45ABF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Не выполнение программы на 100% связано с </w:t>
            </w:r>
            <w:r w:rsidR="00533760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тем, что заложили 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лимиты на приобретение одежды для пожарной дружины, но не израсходов</w:t>
            </w:r>
            <w:r w:rsidR="00533760" w:rsidRPr="0022109F">
              <w:rPr>
                <w:color w:val="000000" w:themeColor="text1"/>
                <w:sz w:val="24"/>
                <w:szCs w:val="24"/>
                <w:lang w:val="ru-RU"/>
              </w:rPr>
              <w:t>али</w:t>
            </w:r>
            <w:r w:rsidR="004A554F">
              <w:rPr>
                <w:color w:val="000000" w:themeColor="text1"/>
                <w:sz w:val="24"/>
                <w:szCs w:val="24"/>
                <w:lang w:val="ru-RU"/>
              </w:rPr>
              <w:t xml:space="preserve">, т.к </w:t>
            </w:r>
            <w:r w:rsidR="004A554F" w:rsidRPr="004A554F">
              <w:rPr>
                <w:color w:val="000000" w:themeColor="text1"/>
                <w:sz w:val="24"/>
                <w:szCs w:val="24"/>
                <w:lang w:val="ru-RU"/>
              </w:rPr>
              <w:t>стоимость одного костюма превысила заложенные лимиты.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B047E5" w:rsidRPr="0022109F" w:rsidRDefault="00B047E5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047E5" w:rsidRPr="0022109F" w:rsidRDefault="00E11580" w:rsidP="0022109F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E11580">
              <w:rPr>
                <w:color w:val="000000" w:themeColor="text1"/>
                <w:sz w:val="24"/>
                <w:szCs w:val="24"/>
                <w:lang w:val="ru-RU"/>
              </w:rPr>
              <w:t>Удовлетворительная</w:t>
            </w:r>
          </w:p>
        </w:tc>
      </w:tr>
      <w:tr w:rsidR="00B047E5" w:rsidRPr="007B1831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11. </w:t>
            </w:r>
            <w:r w:rsidR="009A5ACC" w:rsidRPr="0022109F">
              <w:rPr>
                <w:color w:val="000000" w:themeColor="text1"/>
                <w:sz w:val="24"/>
                <w:szCs w:val="24"/>
                <w:lang w:val="ru-RU"/>
              </w:rPr>
              <w:t>Муниципальная программа "Развитие,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 " на 2019 год</w:t>
            </w:r>
          </w:p>
        </w:tc>
        <w:tc>
          <w:tcPr>
            <w:tcW w:w="1134" w:type="dxa"/>
          </w:tcPr>
          <w:p w:rsidR="00B047E5" w:rsidRPr="00971D82" w:rsidRDefault="009A5ACC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71D82">
              <w:rPr>
                <w:color w:val="000000" w:themeColor="text1"/>
                <w:sz w:val="24"/>
                <w:szCs w:val="24"/>
                <w:lang w:val="ru-RU"/>
              </w:rPr>
              <w:t>519,0</w:t>
            </w:r>
          </w:p>
        </w:tc>
        <w:tc>
          <w:tcPr>
            <w:tcW w:w="1134" w:type="dxa"/>
          </w:tcPr>
          <w:p w:rsidR="00B047E5" w:rsidRPr="00971D82" w:rsidRDefault="009A5ACC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71D82">
              <w:rPr>
                <w:color w:val="000000" w:themeColor="text1"/>
                <w:sz w:val="24"/>
                <w:szCs w:val="24"/>
                <w:lang w:val="ru-RU"/>
              </w:rPr>
              <w:t>518,9</w:t>
            </w:r>
          </w:p>
        </w:tc>
        <w:tc>
          <w:tcPr>
            <w:tcW w:w="7513" w:type="dxa"/>
          </w:tcPr>
          <w:p w:rsidR="00B047E5" w:rsidRPr="0022109F" w:rsidRDefault="009A5ACC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Обслуживание сайта, сопровождение программ: программа 1 С (4 ед.)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антивирус Касперского (20 ед.),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арммуниципал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(1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ед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), Гарант (3 ед.), АС-бюджет (1 ед.), VIP-NET (2 ед.); обновление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эл.подписи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971D82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9A5ACC" w:rsidRPr="009A5ACC" w:rsidTr="00452827">
        <w:tc>
          <w:tcPr>
            <w:tcW w:w="3936" w:type="dxa"/>
          </w:tcPr>
          <w:p w:rsidR="009A5ACC" w:rsidRPr="0022109F" w:rsidRDefault="009A5ACC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12. Муниципальная программа "Формирование комфортной городской (сельской) среды" на 2018-2024 годы</w:t>
            </w:r>
          </w:p>
        </w:tc>
        <w:tc>
          <w:tcPr>
            <w:tcW w:w="1134" w:type="dxa"/>
          </w:tcPr>
          <w:p w:rsidR="009A5ACC" w:rsidRPr="00252669" w:rsidRDefault="009A5ACC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52669">
              <w:rPr>
                <w:color w:val="000000" w:themeColor="text1"/>
                <w:sz w:val="24"/>
                <w:szCs w:val="24"/>
                <w:lang w:val="ru-RU"/>
              </w:rPr>
              <w:t>265,0</w:t>
            </w:r>
          </w:p>
        </w:tc>
        <w:tc>
          <w:tcPr>
            <w:tcW w:w="1134" w:type="dxa"/>
          </w:tcPr>
          <w:p w:rsidR="009A5ACC" w:rsidRPr="00252669" w:rsidRDefault="009A5ACC" w:rsidP="009A5AC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52669">
              <w:rPr>
                <w:color w:val="000000" w:themeColor="text1"/>
                <w:sz w:val="24"/>
                <w:szCs w:val="24"/>
                <w:lang w:val="ru-RU"/>
              </w:rPr>
              <w:t>265,0</w:t>
            </w:r>
          </w:p>
        </w:tc>
        <w:tc>
          <w:tcPr>
            <w:tcW w:w="7513" w:type="dxa"/>
          </w:tcPr>
          <w:p w:rsidR="009A5ACC" w:rsidRPr="0022109F" w:rsidRDefault="009A5ACC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Оплата за выполнение топографической съемки, </w:t>
            </w:r>
          </w:p>
          <w:p w:rsidR="009A5ACC" w:rsidRPr="0022109F" w:rsidRDefault="009A5ACC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выполнение проекта парковой зоны</w:t>
            </w:r>
          </w:p>
        </w:tc>
        <w:tc>
          <w:tcPr>
            <w:tcW w:w="1559" w:type="dxa"/>
          </w:tcPr>
          <w:p w:rsidR="009A5ACC" w:rsidRPr="0022109F" w:rsidRDefault="009A5ACC" w:rsidP="00D939EC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252669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</w:tbl>
    <w:p w:rsidR="00B047E5" w:rsidRDefault="00B047E5" w:rsidP="00B047E5">
      <w:pPr>
        <w:rPr>
          <w:sz w:val="28"/>
          <w:szCs w:val="28"/>
          <w:lang w:val="ru-RU"/>
        </w:rPr>
      </w:pPr>
    </w:p>
    <w:p w:rsidR="0022109F" w:rsidRDefault="0022109F" w:rsidP="00B047E5">
      <w:pPr>
        <w:rPr>
          <w:sz w:val="28"/>
          <w:szCs w:val="28"/>
          <w:lang w:val="ru-RU"/>
        </w:rPr>
      </w:pPr>
    </w:p>
    <w:p w:rsidR="0022109F" w:rsidRDefault="0022109F" w:rsidP="00B047E5">
      <w:pPr>
        <w:rPr>
          <w:sz w:val="28"/>
          <w:szCs w:val="28"/>
          <w:lang w:val="ru-RU"/>
        </w:rPr>
      </w:pPr>
    </w:p>
    <w:p w:rsidR="00E35211" w:rsidRPr="009A1A18" w:rsidRDefault="00B047E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финансового отдела                                               </w:t>
      </w:r>
      <w:r w:rsidR="0022109F">
        <w:rPr>
          <w:sz w:val="28"/>
          <w:szCs w:val="28"/>
          <w:lang w:val="ru-RU"/>
        </w:rPr>
        <w:t xml:space="preserve">                                 </w:t>
      </w:r>
      <w:r>
        <w:rPr>
          <w:sz w:val="28"/>
          <w:szCs w:val="28"/>
          <w:lang w:val="ru-RU"/>
        </w:rPr>
        <w:t xml:space="preserve">   </w:t>
      </w:r>
      <w:r w:rsidR="009A5ACC">
        <w:rPr>
          <w:sz w:val="28"/>
          <w:szCs w:val="28"/>
          <w:lang w:val="ru-RU"/>
        </w:rPr>
        <w:t xml:space="preserve">А.Ю. </w:t>
      </w:r>
      <w:proofErr w:type="spellStart"/>
      <w:r w:rsidR="009A5ACC">
        <w:rPr>
          <w:sz w:val="28"/>
          <w:szCs w:val="28"/>
          <w:lang w:val="ru-RU"/>
        </w:rPr>
        <w:t>Лобыцина</w:t>
      </w:r>
      <w:proofErr w:type="spellEnd"/>
    </w:p>
    <w:sectPr w:rsidR="00E35211" w:rsidRPr="009A1A18" w:rsidSect="0093552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A36" w:rsidRDefault="00007A36" w:rsidP="0093552C">
      <w:r>
        <w:separator/>
      </w:r>
    </w:p>
  </w:endnote>
  <w:endnote w:type="continuationSeparator" w:id="0">
    <w:p w:rsidR="00007A36" w:rsidRDefault="00007A36" w:rsidP="00935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A36" w:rsidRDefault="00007A36" w:rsidP="0093552C">
      <w:r>
        <w:separator/>
      </w:r>
    </w:p>
  </w:footnote>
  <w:footnote w:type="continuationSeparator" w:id="0">
    <w:p w:rsidR="00007A36" w:rsidRDefault="00007A36" w:rsidP="009355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47E5"/>
    <w:rsid w:val="00007A36"/>
    <w:rsid w:val="000E693C"/>
    <w:rsid w:val="001F0C12"/>
    <w:rsid w:val="0022109F"/>
    <w:rsid w:val="00252669"/>
    <w:rsid w:val="003D49E6"/>
    <w:rsid w:val="004079EB"/>
    <w:rsid w:val="00420D70"/>
    <w:rsid w:val="00452827"/>
    <w:rsid w:val="00464D5F"/>
    <w:rsid w:val="004754F4"/>
    <w:rsid w:val="004A554F"/>
    <w:rsid w:val="004B245B"/>
    <w:rsid w:val="00533760"/>
    <w:rsid w:val="005423C5"/>
    <w:rsid w:val="005D25B6"/>
    <w:rsid w:val="0068625A"/>
    <w:rsid w:val="006F1811"/>
    <w:rsid w:val="00754161"/>
    <w:rsid w:val="007836F3"/>
    <w:rsid w:val="007B1831"/>
    <w:rsid w:val="007B3D5C"/>
    <w:rsid w:val="007E7E65"/>
    <w:rsid w:val="00850E50"/>
    <w:rsid w:val="00897877"/>
    <w:rsid w:val="00923F65"/>
    <w:rsid w:val="0093552C"/>
    <w:rsid w:val="00971D82"/>
    <w:rsid w:val="00990428"/>
    <w:rsid w:val="009A1A18"/>
    <w:rsid w:val="009A5ACC"/>
    <w:rsid w:val="00A01F7C"/>
    <w:rsid w:val="00AC7477"/>
    <w:rsid w:val="00AF0A03"/>
    <w:rsid w:val="00B047E5"/>
    <w:rsid w:val="00B072EC"/>
    <w:rsid w:val="00B45ABF"/>
    <w:rsid w:val="00B8505A"/>
    <w:rsid w:val="00BD45B4"/>
    <w:rsid w:val="00CB3CB1"/>
    <w:rsid w:val="00CD750D"/>
    <w:rsid w:val="00D04538"/>
    <w:rsid w:val="00E0300D"/>
    <w:rsid w:val="00E11580"/>
    <w:rsid w:val="00E35211"/>
    <w:rsid w:val="00E43FB2"/>
    <w:rsid w:val="00E938FC"/>
    <w:rsid w:val="00E9586B"/>
    <w:rsid w:val="00EB4FB7"/>
    <w:rsid w:val="00F2384D"/>
    <w:rsid w:val="00FC0355"/>
    <w:rsid w:val="00FD7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18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1831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6">
    <w:name w:val="header"/>
    <w:basedOn w:val="a"/>
    <w:link w:val="a7"/>
    <w:uiPriority w:val="99"/>
    <w:semiHidden/>
    <w:unhideWhenUsed/>
    <w:rsid w:val="009355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3552C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8">
    <w:name w:val="footer"/>
    <w:basedOn w:val="a"/>
    <w:link w:val="a9"/>
    <w:uiPriority w:val="99"/>
    <w:semiHidden/>
    <w:unhideWhenUsed/>
    <w:rsid w:val="009355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3552C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5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Manager1</dc:creator>
  <cp:keywords/>
  <dc:description/>
  <cp:lastModifiedBy>1</cp:lastModifiedBy>
  <cp:revision>37</cp:revision>
  <cp:lastPrinted>2020-03-05T12:15:00Z</cp:lastPrinted>
  <dcterms:created xsi:type="dcterms:W3CDTF">2019-04-23T08:14:00Z</dcterms:created>
  <dcterms:modified xsi:type="dcterms:W3CDTF">2020-06-23T07:29:00Z</dcterms:modified>
</cp:coreProperties>
</file>